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274. “体检一年一检，你检了吗”——健康体检消费行为与检后管理需求研究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研究对象：近一年做过体检的 22—55 岁职场人/中老年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核心问题/变量：体检频次、机构选择（公立vs民营/高端）、套餐消费、检后管理（报告解读/随访）、满意度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H1：体检频次、机构选择（公立vs民营/高端）显著影响满意度（待验证）；H2：不同人群（年龄/收入/城市等级）在上述关系中存在调节作用（待验证）。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✅2025年全国健康体检市场1482.6亿元（+12.5%）、2026年预计2742亿元；✅渗透率约40%（成熟市场70%+）、2030年若达60%对应超8亿人次；✅高端体检2025年突破600亿元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体检中心/企业工会渠道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✅2025年全国健康体检市场1482.6亿元（+12.5%）、2026年预计2742亿元；✅渗透率约40%（成熟市场70%+）、2030年若达60%对应超8亿人次；✅高端体检2025年突破600亿元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