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030. “康复可及，健康有方”——居民对社区康复护理服务的认知、需求与支付意愿研究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研究对象：慢病患者、术后康复者、老年人及照护者。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核心问题/变量：康复需求、服务距离、专业信任、费用、医保认知、使用意愿。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H1：康复需求、服务距离显著影响使用意愿。（待验证）；H2：不同人群（年龄/收入/城市等级）在上述关系中存在调节作用（待验证）。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S4，《医疗康复护理扩容提升工程实施方案》相关政策。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社区卫生服务中心、康复医院和养老机构取样。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S4，《医疗康复护理扩容提升工程实施方案》相关政策。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