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371. “推拿理疗，持证上岗”——中医推拿理疗消费与从业资格认知研究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研究对象：去中医馆/推拿理疗馆消费的顾客及从业者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核心问题/变量：消费频次与项目（推拿/艾灸/拔罐）、价格接受、技师资质认知、证件鉴别（等级证vs速成证）、信任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H1：消费频次与项目（推拿/艾灸/拔罐）、价格接受显著影响信任（待验证）；H2：不同人群（年龄/收入/城市等级）在上述关系中存在调节作用（待验证）。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6月起"中医推拿按摩师"不再是国家准入类职业资格、转为职业技能等级认定（人社部门备案第三方机构发证）；✅依据《国家职业技能标准——保健按摩师（2023年版）》；✅警惕"七天拿证""免考包过"（监管提示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中医馆/理疗店现场问卷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6月起"中医推拿按摩师"不再是国家准入类职业资格、转为职业技能等级认定（人社部门备案第三方机构发证）；✅依据《国家职业技能标准——保健按摩师（2023年版）》；✅警惕"七天拿证""免考包过"（监管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