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383. “罕见病，不被放弃的群体”——罕见病用药可及性与医疗保障认知研究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研究对象：罕见病患者家属、医护人员、公益组织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核心问题/变量：用药负担、医保目录纳入知晓、慈善援助、异地就医、心理支持、政策期待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H1：用药负担、医保目录纳入知晓（政策期待）之间存在可检验的关系，且受群体差异（年龄/收入/地区/身份）调节（待验证）；H2：用药负担、医保目录纳入知晓是影响政策期待的关键因素（待验证）。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🔶罕见病目录（卫健委第一批/第二批目录）；✅医保谈判罕见病用药纳入（国家医保局政策）；🔶"孤儿药"可及性数据（学术/行业报告需核验）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罕见病公益组织（病痛挑战基金会）渠道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🔶罕见病目录（卫健委第一批/第二批目录）；✅医保谈判罕见病用药纳入（国家医保局政策）；🔶"孤儿药"可及性数据（学术/行业报告需核验）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