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442. “血糖血压，在家管起来”——慢病居家监测使用行为与自我管理效能研究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研究对象：患慢病（高血压/糖尿病）且使用居家监测设备的中老年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核心问题/变量：监测习惯（血糖仪/血压计/智能穿戴）、数据记录、线上问诊复诊、家庭医生联动、自我管理效能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监测习惯（血糖仪/血压计/智能穿戴）、数据记录（自我管理效能）之间存在可检验的关系，且受群体差异（年龄/收入/地区/身份）调节（待验证）；H2：监测习惯（血糖仪/血压计/智能穿戴）、数据记录是影响自我管理效能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✅互联网医疗超1000亿、慢病管理为主要动力（第十批已核验）；🔶慢病人群规模（国家卫健委数据需核验）；✅"互联网+医疗健康"政策背景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社区卫生服务中心/慢病社群渠道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✅互联网医疗超1000亿、慢病管理为主要动力（第十批已核验）；🔶慢病人群规模（国家卫健委数据需核验）；✅"互联网+医疗健康"政策背景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