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445. “运动处方，体医融合”——慢病人群运动康复服务需求调查与支付意愿研究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确定行业：11_健康医疗（选择理由：贴合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研究对象：接受过运动康复指导/运动处方的慢性病人群及运动爱好者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核心问题/变量：获取渠道（医院运动门诊/康复机构/健身工作室）、处方内容、费用、执行依从、效果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获取渠道（医院运动门诊/康复机构/健身工作室）、处方内容（效果）之间存在可检验的关系，且受群体差异（年龄/收入/地区/身份）调节（待验证）；H2：获取渠道（医院运动门诊/康复机构/健身工作室）、处方内容是影响效果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🔶运动处方推广（国家体育总局/卫健委体医融合政策）；✅全民健身纲要（背景）；✅私教500亿市场（第九轮证据）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运动康复机构/体医融合门诊渠道；与276题（运动康复）区分：聚焦体医融合制度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🔶运动处方推广（国家体育总局/卫健委体医融合政策）；✅全民健身纲要（背景）；✅私教500亿市场（第九轮证据）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