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587. “护眼经济，视觉健康”——青少年近视防控的消费行为与机构信任研究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研究对象：为孩子做近视防控（OK镜/低浓度阿托品/护眼灯）的家长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核心问题/变量：近视防控手段知晓与选择、费用与医保、验配机构信任、护眼产品（台灯/眼镜）消费、户外活动落实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近视防控手段知晓与选择、费用与医保（户外活动落实）之间存在可检验的关系，且受群体差异（年龄/收入/地区/身份）调节（待验证）；H2：近视防控手段知晓与选择、费用与医保是影响户外活动落实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✅儿童青少年近视防控政策（教育部、卫健委）；🔶OK镜与防控市场规模（行业报告须下载核验）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眼科机构渠道+家长社群问卷；区别于437（视疲劳成人）聚焦青少年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✅儿童青少年近视防控政策（教育部、卫健委）；🔶OK镜与防控市场规模（行业报告须下载核验）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