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588. “疫苗接种，成人新日程”——成人疫苗接种的意愿与品类选择研究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研究对象：接种成人疫苗的成年人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核心问题/变量：成人疫苗接种意识、品类选择（流感/HPV/带状疱疹）、价格与医保、接种便捷性、家庭互带接种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成人疫苗接种意识、品类选择（流感/HPV/带状疱疹）（家庭互带接种）之间存在可检验的关系，且受群体差异（年龄/收入/地区/身份）调节（待验证）；H2：成人疫苗接种意识、品类选择（流感/HPV/带状疱疹）是影响家庭互带接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✅成人疫苗接种政策（疾控、卫健委）；🔶成人疫苗市场数据（行业报告须下载核验）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社区接种点问卷+疾控访谈；区别于587（近视防控）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✅成人疫苗接种政策（疾控、卫健委）；🔶成人疫苗市场数据（行业报告须下载核验）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