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589. “基因检测，健康预言家”——消费级基因检测的付费意愿与隐私顾虑研究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确定行业：11_健康医疗（选择理由：贴合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研究对象：做过消费级基因检测（微基因/23魔方类）的用户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核心问题/变量：基因检测动机（祖源/健康风险/运动饮食）、结果理解与信任、付费意愿、隐私顾虑、结果对行为改变影响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H1：基因检测动机（祖源/健康风险/运动饮食）、结果理解与信任显著影响结果对行为改变影响（待验证）；H2：不同人群（年龄/收入/城市等级）在上述关系中存在调节作用（待验证）。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🔶消费级基因检测市场与监管（行业报告、药监局公告须下载核验）；✅基因检测规范政策（卫健委）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基因检测社群问卷+服务商访谈；区别于463（健康管理）聚焦基因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🔶消费级基因检测市场与监管（行业报告、药监局公告须下载核验）；✅基因检测规范政策（卫健委）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