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590. “过敏星人的春天”——过敏人群脱敏治疗的需求与接受度研究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研究对象：过敏性鼻炎/哮喘患者及其家庭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核心问题/变量：过敏困扰程度、脱敏治疗（舌下/注射）知晓与接受、抗过敏消费（药/净化器/床品）、医院选择、费用负担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过敏困扰程度、脱敏治疗（舌下/注射）知晓与接受（费用负担）之间存在可检验的关系，且受群体差异（年龄/收入/地区/身份）调节（待验证）；H2：过敏困扰程度、脱敏治疗（舌下/注射）知晓与接受是影响费用负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🔶过敏性疾病患病数据（医学报告须下载核验）；✅过敏防治科普政策（卫健委）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过敏门诊渠道+患者社群问卷；区别于079（睡眠）聚焦过敏专项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🔶过敏性疾病患病数据（医学报告须下载核验）；✅过敏防治科普政策（卫健委）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