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宋体" w:hAnsi="宋体" w:eastAsia="宋体"/>
          <w:b/>
          <w:color w:val="6663B2"/>
          <w:sz w:val="30"/>
        </w:rPr>
        <w:t>653. “近视手术，摘镜的抉择”——青年近视激光手术消费意愿及机构信任影响因素研究</w:t>
      </w:r>
    </w:p>
    <w:p>
      <w:pPr>
        <w:spacing w:after="200"/>
        <w:jc w:val="center"/>
      </w:pPr>
      <w:r>
        <w:rPr>
          <w:rFonts w:ascii="宋体" w:hAnsi="宋体" w:eastAsia="宋体"/>
          <w:b w:val="0"/>
          <w:color w:val="837292"/>
          <w:sz w:val="18"/>
        </w:rPr>
        <w:t>正大杯选题档案 · 选题规范化（呆塔大师兄（微信：a237658765））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一、选题定位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项目类型：社会调查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研究阶段：mid（中期：消费意愿及影响因素）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建议地区：全国（可落地为任一代表性城市/县域，按当地资源细化抽样）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确定行业：11_健康医疗（选择理由：贴合 2025–2026 最新政策/市场/社会趋势，参考来源见下；该方向研究对象与样本渠道明确，可转为问卷/访谈设计，且近三年获奖名单无直接重复题。）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研究对象：做过或考虑近视手术（全飞秒等）的青年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核心问题/变量：摘镜动机（参军/颜值/运动）、术式选择与费用、机构信任（公立vs私立）、风险知晓、术后满意度、亲友推荐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二、生成假设（待验证）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H1：摘镜动机（参军/颜值/运动）、术式选择与费用（亲友推荐）之间存在可检验的关系，且受群体差异（年龄/收入/地区/身份）调节（待验证）；H2：摘镜动机（参军/颜值/运动）、术式选择与费用是影响亲友推荐的关键因素（待验证）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🔶近视手术市场数据（眼科行业报告须下载核验）；✅近视防控政策（卫健委）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四、可行性提示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眼科机构渠道+摘镜社群问卷；获奖黑名单核对：近三年无近视手术获奖题 可进一步明确抽样框、样本量与问卷/访谈工具，形成完整调研方案。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五、参考来源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🔶近视手术市场数据（眼科行业报告须下载核验）；✅近视防控政策（卫健委）</w:t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检索状态说明：本档案基于 2025–2026 公开政策、行业报告与媒体线索整理（降级模式，部分来源未逐条联网复核）；✅=官方/权威媒体可直接引用，🔶=行业报告/媒体线索，参赛前须下载原文核对。近三年获奖黑名单已逐题避重核验。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