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680. “睡眠门诊一号难求”——睡眠专科门诊就医需求与治疗依从意愿调查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研究对象：就诊睡眠专科（失眠/鼾症）的患者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核心问题/变量：就医动机（长期失眠）、挂号难度、睡眠监测（多导/居家）使用、治疗依从（CPAP/药物）、保险覆盖、日常助眠消费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H1：就医动机（长期失眠）、挂号难度显著影响日常助眠消费（待验证）；H2：不同人群（年龄/收入/城市等级）在上述关系中存在调节作用（待验证）。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🔶睡眠门诊增长报道（医疗媒体须下载核验）；✅睡眠健康专项行动（卫健委）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医院睡眠科渠道问卷+医师访谈；获奖黑名单核对：近三年无睡眠门诊获奖题（区别于079睡眠产品）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🔶睡眠门诊增长报道（医疗媒体须下载核验）；✅睡眠健康专项行动（卫健委）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