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690. “牙齿矫正，隐形牙套的较量”——隐形正畸选择因素与支付意愿研究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研究对象：做过或考虑隐形正畸（牙套）的青中年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核心问题/变量：正畸动机（美观/功能）、隐形vs钢丝选择、价格与分期、医生选择（公立/私立）、复诊依从、满意度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正畸动机（美观/功能）、隐形vs钢丝选择（满意度）之间存在可检验的关系，且受群体差异（年龄/收入/地区/身份）调节（待验证）；H2：正畸动机（美观/功能）、隐形vs钢丝选择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🔶隐形正畸市场数据（行业报告须下载核验）；✅口腔健康行动方案（卫健委）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口腔机构渠道+正畸社群问卷；获奖黑名单核对：近三年无隐形正畸获奖题（区别于271整牙？需复查）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🔶隐形正畸市场数据（行业报告须下载核验）；✅口腔健康行动方案（卫健委）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