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705. “青少年心理援助热线，接得通吗”——青少年心理援助热线的使用意愿与隐私信任研究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研究对象：拨打过心理援助热线（12356等）的青少年及家长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核心问题/变量：热线知晓度、拨打接通率与等待、咨询师专业性感知、隐私信任、危机干预效果、替代渠道（在线咨询）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热线知晓度、拨打接通率与等待（替代渠道（在线咨询））之间存在可检验的关系，且受群体差异（年龄/收入/地区/身份）调节（待验证）；H2：热线知晓度、拨打接通率与等待是影响替代渠道（在线咨询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✅全国统一心理援助热线设置政策（卫健委）；🔶心理热线运行数据（须下载核验）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学校/心理机构渠道问卷+热线运营方访谈；获奖黑名单核对：近三年无心理热线获奖题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✅全国统一心理援助热线设置政策（卫健委）；🔶心理热线运行数据（须下载核验）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