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720. “三伏贴三九贴，贴出来的养生”——三伏贴贴敷消费意愿与效果评价研究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研究对象：贴三伏贴/三九贴的市民（多为中老年与儿童家长）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核心问题/变量：贴敷动机（调理/治未病）、医疗机构选择（中医院/社区/民营）、费用与疗程、效果感知、安全性认知（烫伤投诉）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贴敷动机（调理/治未病）、医疗机构选择（中医院/社区/民营）（安全性认知（烫伤投诉））之间存在可检验的关系，且受群体差异（年龄/收入/地区/身份）调节（待验证）；H2：贴敷动机（调理/治未病）、医疗机构选择（中医院/社区/民营）是影响安全性认知（烫伤投诉）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✅三伏贴规范管理（国家中医药局）；🔶三伏贴消费与投诉报道（须下载核验）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中医院/社区渠道问卷；获奖黑名单核对：近三年无三伏贴获奖题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✅三伏贴规范管理（国家中医药局）；🔶三伏贴消费与投诉报道（须下载核验）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