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764. “电子烟转替，戒烟新路径”——电子烟使用动机与戒烟效果评价研究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研究对象：电子烟用户、尝试戒烟的传统烟民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核心问题/变量：电子烟使用动机（替烟/潮流）、口味与尼古丁浓度、监管（口味禁令）影响、戒烟效果、健康认知、青少年预防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电子烟使用动机（替烟/潮流）、口味与尼古丁浓度（青少年预防）之间存在可检验的关系，且受群体差异（年龄/收入/地区/身份）调节（待验证）；H2：电子烟使用动机（替烟/潮流）、口味与尼古丁浓度是影响青少年预防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✅电子烟管理办法（国家烟草专卖局）；🔶电子烟市场数据（须下载核验）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电子烟社群问卷+监管部门访谈；获奖黑名单核对：近三年无电子烟获奖题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✅电子烟管理办法（国家烟草专卖局）；🔶电子烟市场数据（须下载核验）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