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797. “家庭医生签约，健康守门人”——家庭医生签约使用行为与续签意愿研究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研究对象：签约家庭医生服务的社区居民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核心问题/变量：签约知晓与覆盖率、服务内容（建档/慢病随访/转诊）、使用频次、与社区卫生中心关系、满意度与续签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签约知晓与覆盖率、服务内容（建档/慢病随访/转诊）（满意度与续签）之间存在可检验的关系，且受群体差异（年龄/收入/地区/身份）调节（待验证）；H2：签约知晓与覆盖率、服务内容（建档/慢病随访/转诊）是影响满意度与续签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✅家庭医生签约服务政策（卫健委）；🔶签约服务数据（须下载核验）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社区卫生中心渠道问卷+医生访谈；获奖黑名单核对：近三年无家庭医生获奖题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✅家庭医生签约服务政策（卫健委）；🔶签约服务数据（须下载核验）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