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828. “辅助生殖补贴，试管婴儿消费”——辅助生殖治疗消费需求与医保补贴政策获得感研究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研究对象：接受辅助生殖（试管等）治疗的夫妻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核心问题/变量：辅助生殖费用（10万级）、成功率预期、医保/地方补贴纳入、心理压力、二孩三孩叠加需求、政策获得感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辅助生殖费用（10万级）、成功率预期（政策获得感）之间存在可检验的关系，且受群体差异（年龄/收入/地区/身份）调节（待验证）；H2：辅助生殖费用（10万级）、成功率预期是影响政策获得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🔶辅助生殖医疗服务纳入医保试点（国家医保局）；🔶辅助生殖消费数据（行业报告须下载核验）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生殖中心渠道问卷+医生访谈；获奖黑名单核对：近三年无辅助生殖获奖题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🔶辅助生殖医疗服务纳入医保试点（国家医保局）；🔶辅助生殖消费数据（行业报告须下载核验）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