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082. “科学减重，健康管理”——减重消费需求与健康管理服务使用意愿研究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研究对象：有减重需求的18—50岁人群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核心问题/变量：减重动机、方式选择（健身/代餐/医学干预）、支出、效果感知、健康风险认知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减重动机、方式选择（健身/代餐/医学干预）（健康风险认知）之间存在可检验的关系，且受群体差异（年龄/收入/地区/身份）调节（待验证）；H2：减重动机、方式选择（健身/代餐/医学干预）是影响健康风险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🔶减重药物（GLP-1类）全球市场爆发、国内司美格鲁肽等获批（行业报道，须下载原文核对）；✅"健康中国"战略与体重管理年行动（政策背景，🔶具体文件待核验）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健身房/减重社群/健康管理机构渠道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🔶减重药物（GLP-1类）全球市场爆发、国内司美格鲁肽等获批（行业报道，须下载原文核对）；✅"健康中国"战略与体重管理年行动（政策背景，🔶具体文件待核验）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