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842. “三高人群饮食，控糖控盐日常”——三高人群饮食管理行为与代餐消费意愿调查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确定行业：11_健康医疗（选择理由：贴合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研究对象：高血压/高血糖/高血脂（三高）人群及其家庭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核心问题/变量：饮食控制执行（低盐/低糖）、代餐/特殊食品（糖尿病食品/低钠盐）消费、监测设备（血压计/血糖仪）、医嘱依从、健康管理App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H1：饮食控制执行（低盐/低糖）、代餐/特殊食品（糖尿病食品/低钠盐）消费显著影响健康管理App（待验证）；H2：不同人群（年龄/收入/城市等级）在上述关系中存在调节作用（待验证）。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🔶三高防治与健康中国行动（卫健委）；🔶慢病食品市场数据（行业报告须下载核验）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社区健康渠道问卷+慢病管理平台访谈；获奖黑名单核对：近三年无三高饮食获奖题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🔶三高防治与健康中国行动（卫健委）；🔶慢病食品市场数据（行业报告须下载核验）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