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875. “青少年体态矫正，驼背焦虑”——脊柱侧弯筛查参与意愿与体态矫正支付意愿研究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研究对象：孩子接受脊柱/体态（驼背/圆肩）筛查矫正的家长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核心问题/变量：脊柱侧弯筛查（校园）参与、体态问题检出率感知、矫正产品（背背佳/支具）消费、机构矫正课、就医转介、焦虑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脊柱侧弯筛查（校园）参与、体态问题检出率感知（焦虑）之间存在可检验的关系，且受群体差异（年龄/收入/地区/身份）调节（待验证）；H2：脊柱侧弯筛查（校园）参与、体态问题检出率感知是影响焦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🔶儿童青少年脊柱健康专项行动（国家卫健委）；🔶体态矫正市场报道（须下载核验）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学校/康复机构渠道+家长问卷；获奖黑名单核对：近三年无脊柱侧弯获奖题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🔶儿童青少年脊柱健康专项行动（国家卫健委）；🔶体态矫正市场报道（须下载核验）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