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087. “朋克养生，青年新解”——青年新型养生消费动机与效果感知研究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研究对象：18—35岁进行养生消费的青年（保温杯泡枸杞/营养保健品/中医调理）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核心问题/变量：健康焦虑、作息状态、养生动机、消费行为、效果感知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H1：健康焦虑、作息状态显著影响效果感知（待验证）；H2：不同人群（年龄/收入/城市等级）在上述关系中存在调节作用（待验证）。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🔶"边熬夜边养生"朋克养生现象（媒体高频话题，待引用权威报告）；✅近八成青年存在情绪压力（艾媒2026抽样，可与情绪经济板块衔接）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校园+职场青年渠道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🔶"边熬夜边养生"朋克养生现象（媒体高频话题，待引用权威报告）；✅近八成青年存在情绪压力（艾媒2026抽样，可与情绪经济板块衔接）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