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889. “猝死年轻化，体检加项潮”——青年健康焦虑与心脑血管筛查加项支付意愿调查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研究对象：因健康焦虑加购体检项目/专项筛查（心脑血管/肿瘤）的年轻人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核心问题/变量：健康焦虑来源（新闻/过劳）、体检加项消费（千元级）、专项筛查（CT/基因）选择、结果解读、健康行为改变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H1：健康焦虑来源（新闻/过劳）、体检加项消费（千元级）显著影响健康行为改变（待验证）；H2：不同人群（年龄/收入/城市等级）在上述关系中存在调节作用（待验证）。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🔶健康中国行动与体检规范（卫健委）；🔶体检市场数据（行业报告须下载核验）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体检机构渠道+青年问卷；获奖黑名单核对：近三年无体检加项获奖题（区别于636报告解读/697上门体检）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🔶健康中国行动与体检规范（卫健委）；🔶体检市场数据（行业报告须下载核验）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