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943. “减重门诊，科学减重”——医院减重门诊（医学减重）服务需求与付费意愿调查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研究对象：就诊减重门诊/医学减重（药物/手术评估）的超重人群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核心问题/变量：减重诉求（健康/体态）、门诊方案（饮食/药物/GLP-1）、费用与医保、体重反弹、与网红减肥法对比、依从性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减重诉求（健康/体态）、门诊方案（饮食/药物/GLP-1）（依从性）之间存在可检验的关系，且受群体差异（年龄/收入/地区/身份）调节（待验证）；H2：减重诉求（健康/体态）、门诊方案（饮食/药物/GLP-1）是影响依从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🔶体重管理年行动与减重门诊建设（卫健委）；🔶减重药物市场数据（须下载核验）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医院减重科渠道+患者问卷；获奖黑名单核对：近三年无减重门诊获奖题（区别于82科学减重泛题，聚焦门诊医学路径）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🔶体重管理年行动与减重门诊建设（卫健委）；🔶减重药物市场数据（须下载核验）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