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1028. “教师减负清单，回归教学”——中小学教师减负政策感知与职业幸福感调查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研究对象：中小学教师（经历减负清单/去行政化）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核心问题/变量：非教学任务负担（填表/检查/打卡）、减负政策感知、教学时间占比、职业倦怠与幸福感、家校沟通负担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非教学任务负担（填表/检查/打卡）、减负政策感知（家校沟通负担）之间存在可检验的关系，且受群体差异（年龄/收入/地区/身份）调节（待验证）；H2：非教学任务负担（填表/检查/打卡）、减负政策感知是影响家校沟通负担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🔶中小学教师减负政策（教育部）；🔶教师负担调查数据（须下载核验）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教师问卷+教育局访谈；获奖黑名单核对：近三年无教师减负获奖题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🔶中小学教师减负政策（教育部）；🔶教师负担调查数据（须下载核验）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