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1029. “校服循环，绿色校服”——校服循环流转使用需求与家长接受度调查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研究对象：使用校服（含传承循环）的学生与家长、校服企业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核心问题/变量：校服价格与质量、旧校服处置（传承弟弟妹妹/二手平台）、校服循环接受度、一校一款招标、家长参与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校服价格与质量、旧校服处置（传承弟弟妹妹/二手平台）（家长参与）之间存在可检验的关系，且受群体差异（年龄/收入/地区/身份）调节（待验证）；H2：校服价格与质量、旧校服处置（传承弟弟妹妹/二手平台）是影响家长参与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🔶校服管理相关规定（教育部、市场监管总局）；🔶校服治理报道（须下载核验）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家长问卷+校服企业访谈；获奖黑名单核对：近三年无校服循环获奖题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🔶校服管理相关规定（教育部、市场监管总局）；🔶校服治理报道（须下载核验）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