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1030. “宿舍改造，住出格调”——大学生宿舍改造投入意愿与品类偏好调查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研究对象：改造宿舍/宿舍好物的大学生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核心问题/变量：宿舍改造投入（百元-千元）、品类（床帘/收纳/氛围灯）、宿舍限电与改造限制、断舍离、与校外租房对比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宿舍改造投入（百元-千元）、品类（床帘/收纳/氛围灯）（与校外租房对比）之间存在可检验的关系，且受群体差异（年龄/收入/地区/身份）调节（待验证）；H2：宿舍改造投入（百元-千元）、品类（床帘/收纳/氛围灯）是影响与校外租房对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🔶高校后勤与学生生活服务政策（教育部）；🔶宿舍好物消费数据（电商平台须下载核验）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高校学生问卷+电商宿舍好物数据；获奖黑名单核对：近三年无宿舍改造获奖题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🔶高校后勤与学生生活服务政策（教育部）；🔶宿舍好物消费数据（电商平台须下载核验）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