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1074. “晚托班需求，谁接孩子放学”——小学生课后托管（晚托）服务消费意愿与选择因素研究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研究对象：双职工家庭（孩子小学）使用晚托/课后托管服务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核心问题/变量：晚托需求（接送/作业/晚餐）、晚托形式（学校延时vs机构）、费用（千元/月）、师资与安全、双减后市场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H1：晚托需求（接送/作业/晚餐）、晚托形式（学校延时vs机构）显著影响双减后市场（待验证）；H2：不同人群（年龄/收入/城市等级）在上述关系中存在调节作用（待验证）。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🔶课后服务与校外托管规范（教育部、市场监管总局）；🔶晚托市场数据（须下载核验）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托管机构渠道+家长问卷；获奖黑名单核对：近三年无晚托消费获奖题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🔶课后服务与校外托管规范（教育部、市场监管总局）；🔶晚托市场数据（须下载核验）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