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1075. “学生心理筛查，心理档案”——中小学生心理测评建档需求调查与家长接受度研究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研究对象：经历学校心理筛查建档的学生与家长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核心问题/变量：心理测评频次与形式（量表）、测出预警处理（转介）、家长知晓与配合、隐私顾虑、学校心理教师配备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心理测评频次与形式（量表）、测出预警处理（转介）（学校心理教师配备）之间存在可检验的关系，且受群体差异（年龄/收入/地区/身份）调节（待验证）；H2：心理测评频次与形式（量表）、测出预警处理（转介）是影响学校心理教师配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🔶学生心理健康筛查政策（教育部）；🔶心理测评工具规范（心理学专业机构须下载核验）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学校渠道问卷+心理教师访谈；获奖黑名单核对：近三年无学生心理筛查获奖题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🔶学生心理健康筛查政策（教育部）；🔶心理测评工具规范（心理学专业机构须下载核验）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