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1076. “劳动课进校园，动手能力”——中小学劳动教育课程需求调查及家长支持度研究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研究对象：劳动课（烹饪/手工/种植）学生与教师家长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核心问题/变量：劳动课课时与内容、校外基地（农庄/工坊）、劳动装备（围裙/工具）消费、家长支持度、技能与习惯培养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劳动课课时与内容、校外基地（农庄/工坊）（技能与习惯培养）之间存在可检验的关系，且受群体差异（年龄/收入/地区/身份）调节（待验证）；H2：劳动课课时与内容、校外基地（农庄/工坊）是影响技能与习惯培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🔶劳动教育课程标准与政策（教育部）；🔶劳动教育实践案例（须下载核验）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学校渠道问卷+劳动基地访谈；获奖黑名单核对：近三年无劳动教育获奖题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🔶劳动教育课程标准与政策（教育部）；🔶劳动教育实践案例（须下载核验）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