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1078. “儿童阅读大计，分级阅读”——儿童分级读物认知调查与家长购买意愿研究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研究对象：为孩子选购分级读物的家长与阅读推广机构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核心问题/变量：分级阅读认知（按年龄/能力）、分级读物购买（绘本/桥梁书）、阅读习惯培养（亲子共读）、图书馆借阅、测评工具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分级阅读认知（按年龄/能力）、分级读物购买（绘本/桥梁书）（测评工具）之间存在可检验的关系，且受群体差异（年龄/收入/地区/身份）调节（待验证）；H2：分级阅读认知（按年龄/能力）、分级读物购买（绘本/桥梁书）是影响测评工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🔶全民阅读促进条例与儿童阅读政策（中宣部、教育部）；🔶分级阅读市场数据（须下载核验）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书店/图书馆问卷+出版机构访谈；获奖黑名单核对：近三年无儿童分级阅读获奖题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🔶全民阅读促进条例与儿童阅读政策（中宣部、教育部）；🔶分级阅读市场数据（须下载核验）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