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1079. “双减后素质教育，兴趣课花开”——双减后素质教育兴趣班消费行为与续课意愿研究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研究对象：报素质教育兴趣班（艺术/体育/创客）的小学生家庭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核心问题/变量：素质教育科目选择（美术/舞蹈/编程/棋类）、课包费用、每周课时量、成绩观转变（非学科）、续课与转机构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素质教育科目选择（美术/舞蹈/编程/棋类）、课包费用（续课与转机构）之间存在可检验的关系，且受群体差异（年龄/收入/地区/身份）调节（待验证）；H2：素质教育科目选择（美术/舞蹈/编程/棋类）、课包费用是影响续课与转机构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🔶双减政策与校外培训分类管理（教育部）；🔶素质教育市场数据（行业报告须下载核验）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素质机构渠道+家长问卷；获奖黑名单核对：近三年无双减素质教育获奖题（区别于595学科培训，聚焦非学科）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🔶双减政策与校外培训分类管理（教育部）；🔶素质教育市场数据（行业报告须下载核验）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