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113. “手机禁入校门，家校同心”——未成年人手机管理新政下家长政策支持度与执行困境研究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建议地区：广州（可按省/市细化抽样框）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研究对象：中小学生家长（手机禁令涉及其子女）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核心问题/变量：政策知晓、支持度、执行方式（学校保管/家长配合）、矛盾点（联系不便/数字工具依赖）、改进建议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H1：政策知晓、支持度（改进建议）之间存在可检验的关系，且受群体差异（年龄/收入/地区/身份）调节（待验证）；H2：政策知晓、支持度是影响改进建议的关键因素（待验证）。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✅《重庆市预防未成年人犯罪条例》2026-09-01施行：学校可禁止学生携带手机入校（福建/广州/郑州已有类似规定）；✅教育部2025年重申"严禁将手机带入课堂"、鼓励"息屏行动"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学校家长群/社区渠道；政策刚落地话题热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✅《重庆市预防未成年人犯罪条例》2026-09-01施行：学校可禁止学生携带手机入校（福建/广州/郑州已有类似规定）；✅教育部2025年重申"严禁将手机带入课堂"、鼓励"息屏行动"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