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1205. “课间15分钟，学生走出去”——中小学生课间户外活动需求与参与意愿研究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研究对象：经历课间延长（10→15分钟）的中小学生与教师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核心问题/变量：课间延长政策（地方推行）、学生户外活动增加、教师拖堂问题、课间安全与监管、身心状态改善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课间延长政策（地方推行）、学生户外活动增加（身心状态改善）之间存在可检验的关系，且受群体差异（年龄/收入/地区/身份）调节（待验证）；H2：课间延长政策（地方推行）、学生户外活动增加是影响身心状态改善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🔶课间休息与近视防控政策（教育部）；🔶课间改革报道（须下载核验）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中小学问卷+教育局访谈；获奖黑名单核对：近三年无课间延长获奖题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🔶课间休息与近视防控政策（教育部）；🔶课间改革报道（须下载核验）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