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1207. “大学生夜校，高校社交新场景”——大学生夜校课程需求调查与市场机会挖掘研究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研究对象：参加高校夜校课程（兴趣/技能）的大学生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核心问题/变量：大学生夜校课程（书法/摄影/乐器）、晚间时间利用、低价课程消费（几十元）、社交破圈、与校外夜校对比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大学生夜校课程（书法/摄影/乐器）、晚间时间利用（与校外夜校对比）之间存在可检验的关系，且受群体差异（年龄/收入/地区/身份）调节（待验证）；H2：大学生夜校课程（书法/摄影/乐器）、晚间时间利用是影响与校外夜校对比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🔶高校第二课堂与美育政策（教育部、共青团中央）；🔶高校夜校案例（须下载核验）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高校夜校问卷+团委访谈；获奖黑名单核对：近三年无大学生夜校获奖题（区别于725/958/1114夜校，聚焦高校场景）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🔶高校第二课堂与美育政策（教育部、共青团中央）；🔶高校夜校案例（须下载核验）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