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1209. “高校AI通识课，人人学AI”——大学生AI通识课程学习需求与内容偏好研究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研究对象：修读高校AI通识课程的大学生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核心问题/变量：AI通识课内容（工具使用/原理/伦理）、选课热度（抢课）、AI素养提升、跨专业应用、课程评价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通识课内容（工具使用/原理/伦理）、选课热度（抢课）（课程评价）之间存在可检验的关系，且受群体差异（年龄/收入/地区/身份）调节（待验证）；H2：AI通识课内容（工具使用/原理/伦理）、选课热度（抢课）是影响课程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🔶高校AI教育与人机协同政策（教育部）；🔶AI通识课数据（高校案例须下载核验）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高校问卷+教务访谈；获奖黑名单核对：近三年无高校AI通识课获奖题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🔶高校AI教育与人机协同政策（教育部）；🔶AI通识课数据（高校案例须下载核验）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