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1210. “作业熔断机制，晚上10点不写作业”——中小学生作业熔断制度需求与支持度研究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研究对象：实行作业熔断机制（晚上10点停写）的学生与家长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核心问题/变量：作业熔断机制（地方试点）、作业量负担、睡眠时间保障、家长签字执行、教师作业设计、落地效果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作业熔断机制（地方试点）、作业量负担（落地效果）之间存在可检验的关系，且受群体差异（年龄/收入/地区/身份）调节（待验证）；H2：作业熔断机制（地方试点）、作业量负担是影响落地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🔶作业管理政策（教育部）；🔶作业熔断试点报道（须下载核验）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中小学问卷+教育局访谈；获奖黑名单核对：近三年无作业熔断获奖题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🔶作业管理政策（教育部）；🔶作业熔断试点报道（须下载核验）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