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134. “课间十五分钟，快乐校园”——课间延长新政家长满意度与教师负担感知研究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研究对象：中小学生、家长、教师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核心问题/变量：课间延长至 15 分钟新政知晓度、实施落地情况、学生活动参与、家长满意度、教师负担感知、对视力/体质影响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H1：课间延长至 15 分钟新政知晓度、实施落地情况（对视力/体质影响）之间存在可检验的关系，且受群体差异（年龄/收入/地区/身份）调节（待验证）；H2：课间延长至 15 分钟新政知晓度、实施落地情况是影响对视力/体质影响的关键因素（待验证）。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✅多地延长课间至 15 分钟政策文件与报道（教育部、央媒）；🔶实施效果调查（须下载核验）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中小学渠道问卷+教师访谈；与113（手机管理）区分：聚焦课间时长与活动安排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✅多地延长课间至 15 分钟政策文件与报道（教育部、央媒）；🔶实施效果调查（须下载核验）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