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145. “自习室里，逐梦时光”——付费自习室使用动机与续费意愿研究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研究对象：使用过付费自习室的备考人群（考研/考公/考证）及职场人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核心问题/变量：使用动机、价格敏感（日均客单价）、环境满意度、自习室选择因素、续费与推荐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H1：使用动机、价格敏感（日均客单价）显著影响续费与推荐（待验证）；H2：不同人群（年龄/收入/城市等级）在上述关系中存在调节作用（待验证）。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✅智能自习室2026年突破600亿元（+22.6%）；共享自习室百亿级；✅存量门店超7.2万家、日均客单价约36元、座位费占营收82%（新快报/羊城晚报）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自习室门店+备考社群渠道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✅智能自习室2026年突破600亿元（+22.6%）；共享自习室百亿级；✅存量门店超7.2万家、日均客单价约36元、座位费占营收82%（新快报/羊城晚报）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