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016. “AI助学，边界何在”——大学生生成式人工智能学习工具使用行为与依赖风险认知研究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研究对象：本科生和研究生。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核心问题/变量：使用频率、使用任务、自我效能、学习效率、依赖风险、学术规范认知。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H1：使用频率、使用任务（学术规范认知。）之间存在可检验的关系，且受群体差异（年龄/收入/地区/身份）调节（待验证）；H2：使用频率、使用任务是影响学术规范认知。的关键因素（待验证）。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S7，2026 年中国 AIGC 应用研究报告；S4，高校改革政策。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高校分层抽样；可使用结构方程或潜在类别分析。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S7，2026 年中国 AIGC 应用研究报告；S4，高校改革政策。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