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228. “非遗工坊，亲手体验”——非遗技艺体验（非遗工坊、研学课程）消费意愿研究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研究对象：参加过非遗体验课（扎染/剪纸/陶艺/漆器）的消费者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核心问题/变量：体验动机（文化/亲子/疗愈）、课程价格接受、师资信任、满意度、复购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H1：体验动机（文化/亲子/疗愈）、课程价格接受显著影响复购（待验证）；H2：不同人群（年龄/收入/城市等级）在上述关系中存在调节作用（待验证）。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🔶非遗体验经济（文旅部非遗旅游数据需核验）；✅《关于推动非物质文化遗产与旅游深度融合发展的通知》（文旅部政策背景）；✅非遗工坊建设（国家乡村振兴局/文旅部数据🔶）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非遗工坊/文化馆渠道；与25题（非遗文创购买）区分：聚焦体验消费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🔶非遗体验经济（文旅部非遗旅游数据需核验）；✅《关于推动非物质文化遗产与旅游深度融合发展的通知》（文旅部政策背景）；✅非遗工坊建设（国家乡村振兴局/文旅部数据🔶）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