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231. “古籍修复，慢工出细活”——传统技艺体验课程（古籍修复、装裱、篆刻）消费意愿研究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研究对象：对传统文化技艺课程感兴趣的都市人群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核心问题/变量：课程兴趣、价格接受、师资与场域、学习动机（修养/职业）、参与意愿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H1：课程兴趣、价格接受（参与意愿）之间存在可检验的关系，且受群体差异（年龄/收入/地区/身份）调节（待验证）；H2：课程兴趣、价格接受是影响参与意愿的关键因素（待验证）。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🔶"新中式生活方式"（媒体现象报道）；✅公共文化服务政策背景；✅文旅部非遗人才培养政策（🔶）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图书馆/文博机构课程渠道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🔶"新中式生活方式"（媒体现象报道）；✅公共文化服务政策背景；✅文旅部非遗人才培养政策（🔶）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