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029. “高校改革，学生怎么看”——高校分类改革背景下学生实践教学满意度与就业服务需求研究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研究对象：本科生、研究生和毕业年级学生。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核心问题/变量：实践课程满意度、校企合作、就业指导、科研机会、专业认同。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H1：实践课程满意度、校企合作（专业认同。）之间存在可检验的关系，且受群体差异（年龄/收入/地区/身份）调节（待验证）；H2：实践课程满意度、校企合作是影响专业认同。的关键因素（待验证）。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S4，《关于分类推进高校改革的意见》；S1，赛事强调实践调查能力。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一所高校内做年级、专业和学历层次比较。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S4，《关于分类推进高校改革的意见》；S1，赛事强调实践调查能力。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