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311. “AI 代写论文，学术红线”——高校学生AI写作工具的使用行为与学术诚信认知调查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研究对象：高校本硕博学生、教师与教务管理者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 写作工具使用率与场景、学术诚信认知、学校 AIGC 使用规定知晓度、检测与处理态度、合理使用边界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 写作工具使用率与场景、学术诚信认知（合理使用边界）之间存在可检验的关系，且受群体差异（年龄/收入/地区/身份）调节（待验证）；H2：AI 写作工具使用率与场景、学术诚信认知是影响合理使用边界的关键因素（待验证）。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✅高校与教育部 AIGC 学术使用规定（官方文件、权威媒体）；🔶学生 AI 使用情况调研（须下载核验）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高校学生问卷+教师访谈；与016（AI助学）区分：聚焦学术诚信与制度治理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✅高校与教育部 AIGC 学术使用规定（官方文件、权威媒体）；🔶学生 AI 使用情况调研（须下载核验）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