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350. “琴童的周末，艺术考级”——少儿艺术培训消费行为与报班满意度研究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研究对象：给孩子报艺术培训的家长（4—12岁）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核心问题/变量：报班动机（考级/兴趣/升学）、课程费用、课时安排、考级热态度、双减后变化、满意度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班动机（考级/兴趣/升学）、课程费用（满意度）之间存在可检验的关系，且受群体差异（年龄/收入/地区/身份）调节（待验证）；H2：报班动机（考级/兴趣/升学）、课程费用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🔶艺术培训市场（双减后行业报告需下载）；✅K12素质教育培训政策（"双减"后利好素养类背景）；✅美育政策（教育部"美育纳入中考"讨论🔶）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培训机构/学校渠道；与225题（体适能）、261-265（阅读教育）区分：聚焦艺术考级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🔶艺术培训市场（双减后行业报告需下载）；✅K12素质教育培训政策（"双减"后利好素养类背景）；✅美育政策（教育部"美育纳入中考"讨论🔶）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