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410. “财商第一课，校园理财教育”——大学生财商教育需求与理财消费行为研究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研究对象：在校大学生（有生活费管理/理财经历）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核心问题/变量：理财知识来源、生活费规划、校园贷风险认知、基金/黄金等产品接触、财商课程需求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H1：理财知识来源、生活费规划（财商课程需求）之间存在可检验的关系，且受群体差异（年龄/收入/地区/身份）调节（待验证）；H2：理财知识来源、生活费规划是影响财商课程需求的关键因素（待验证）。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✅大学生消费金融45%用于发展型支出（第九轮证据）；🔶校园财商教育（央行"金融知识进校园"活动）；✅《防范校园贷风险》监管（背景）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高校渠道（样本易得）；评委关注青年教育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✅大学生消费金融45%用于发展型支出（第九轮证据）；🔶校园财商教育（央行"金融知识进校园"活动）；✅《防范校园贷风险》监管（背景）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