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436. “红色研学，青春打卡”——红色研学消费行为与教育获得感研究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研究对象：参加过红色旅游/红色研学（旧址/纪念馆/重走长征）的学生及家长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核心问题/变量：参与形式（党团活动/亲子研学）、内容吸引力（沉浸式/讲解）、花费、教育获得感、创新期待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形式（党团活动/亲子研学）、内容吸引力（沉浸式/讲解）（创新期待）之间存在可检验的关系，且受群体差异（年龄/收入/地区/身份）调节（待验证）；H2：参与形式（党团活动/亲子研学）、内容吸引力（沉浸式/讲解）是影响创新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🔶红色旅游规模（文旅部数据需核验）；✅建党百年红色旅游政策（中办国办文件背景）；✅研学游2亿人次（已核验）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红色景区/学校党团渠道；政策热点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🔶红色旅游规模（文旅部数据需核验）；✅建党百年红色旅游政策（中办国办文件背景）；✅研学游2亿人次（已核验）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