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441. “AI 心理老师进校园”——中小学生心理健康AI工具使用意愿与隐私顾虑研究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研究对象：中小学生、家长、心理教师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核心问题/变量：校园 AI 心理测评/对话工具知晓度、使用意愿、隐私顾虑、对人工咨询的替代或补充、家校接受度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H1：校园 AI 心理测评/对话工具知晓度、使用意愿（家校接受度）之间存在可检验的关系，且受群体差异（年龄/收入/地区/身份）调节（待验证）；H2：校园 AI 心理测评/对话工具知晓度、使用意愿是影响家校接受度的关键因素（待验证）。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✅学生心理健康教育政策（教育部等文件）；🔶AI 心理健康应用案例（权威媒体，须下载核验）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学校/机构渠道问卷+教师访谈；与254（成人心理自助）区分：聚焦校园未成年人场景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✅学生心理健康教育政策（教育部等文件）；🔶AI 心理健康应用案例（权威媒体，须下载核验）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