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447. “技能证书，敲门砖还是智商税”——职业技能证书报考意愿与就业价值感知研究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研究对象：报考过职业技能等级证书（健康管理师/电工/保育员等）的考生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核心问题/变量：报考动机、培训费用、考证通过率、证书对就业帮助、防骗经历、投入产出评价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H1：报考动机、培训费用（投入产出评价）之间存在可检验的关系，且受群体差异（年龄/收入/地区/身份）调节（待验证）；H2：报考动机、培训费用是影响投入产出评价的关键因素（待验证）。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✅技能人才评价体系改革（人社部备案第三方发证）；✅证书全国联网可查（第十三轮证据）；🔶职业技能培训市场规模（行业报告需核验）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职业培训机构/人社部门备案机构渠道；与375题（考证经济）区分：聚焦等级认定制度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✅技能人才评价体系改革（人社部备案第三方发证）；✅证书全国联网可查（第十三轮证据）；🔶职业技能培训市场规模（行业报告需核验）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