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448. “市民艺术夜校，成人美育”——艺术夜校课程满意度与持续参与意愿研究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研究对象：报名市民艺术夜校/成人兴趣班（乐器/舞蹈/美术）的上班族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核心问题/变量：报名动机（兴趣/解压/社交）、课程费用（普惠定价）、抢课难、学习坚持率、获得感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动机（兴趣/解压/社交）、课程费用（普惠定价）（获得感）之间存在可检验的关系，且受群体差异（年龄/收入/地区/身份）调节（待验证）；H2：报名动机（兴趣/解压/社交）、课程费用（普惠定价）是影响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🔶市民艺术夜校"一课难求"（上海等城市媒体报道需引原文）；✅公共文化服务均等化（文化部政策背景）；✅情绪消费与悦己（已核验）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市民夜校渠道（上海市民艺术夜校模式）；与91题（青年夜校）区分：聚焦艺术美育供给侧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🔶市民艺术夜校"一课难求"（上海等城市媒体报道需引原文）；✅公共文化服务均等化（文化部政策背景）；✅情绪消费与悦己（已核验）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